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Pr="006E18B5" w:rsidRDefault="000045A5" w:rsidP="000045A5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</w:t>
      </w:r>
      <w:proofErr w:type="gramStart"/>
      <w:r w:rsidRPr="006E18B5">
        <w:rPr>
          <w:color w:val="000000"/>
          <w:sz w:val="24"/>
          <w:szCs w:val="24"/>
        </w:rPr>
        <w:t>«</w:t>
      </w:r>
      <w:r w:rsidR="000052A2" w:rsidRPr="006E18B5">
        <w:rPr>
          <w:color w:val="000000"/>
          <w:sz w:val="24"/>
          <w:szCs w:val="24"/>
        </w:rPr>
        <w:t xml:space="preserve"> </w:t>
      </w:r>
      <w:r w:rsidR="00EE011D" w:rsidRPr="006E18B5">
        <w:rPr>
          <w:color w:val="000000"/>
          <w:sz w:val="24"/>
          <w:szCs w:val="24"/>
        </w:rPr>
        <w:t>_</w:t>
      </w:r>
      <w:proofErr w:type="gramEnd"/>
      <w:r w:rsidR="00EE011D" w:rsidRPr="006E18B5">
        <w:rPr>
          <w:color w:val="000000"/>
          <w:sz w:val="24"/>
          <w:szCs w:val="24"/>
        </w:rPr>
        <w:t>___</w:t>
      </w:r>
      <w:r w:rsidR="003548FA" w:rsidRPr="006E18B5">
        <w:rPr>
          <w:color w:val="000000"/>
          <w:sz w:val="24"/>
          <w:szCs w:val="24"/>
        </w:rPr>
        <w:t>______</w:t>
      </w:r>
      <w:r w:rsidRPr="006E18B5">
        <w:rPr>
          <w:color w:val="000000"/>
          <w:sz w:val="24"/>
          <w:szCs w:val="24"/>
        </w:rPr>
        <w:t xml:space="preserve"> »  201</w:t>
      </w:r>
      <w:r w:rsidR="003548FA" w:rsidRPr="006E18B5">
        <w:rPr>
          <w:color w:val="000000"/>
          <w:sz w:val="24"/>
          <w:szCs w:val="24"/>
        </w:rPr>
        <w:t>7</w:t>
      </w:r>
      <w:r w:rsidRPr="006E18B5">
        <w:rPr>
          <w:color w:val="000000"/>
          <w:sz w:val="24"/>
          <w:szCs w:val="24"/>
        </w:rPr>
        <w:t xml:space="preserve"> г.</w:t>
      </w:r>
      <w:r w:rsidRPr="006E18B5">
        <w:rPr>
          <w:color w:val="000000"/>
          <w:sz w:val="24"/>
          <w:szCs w:val="24"/>
        </w:rPr>
        <w:tab/>
        <w:t xml:space="preserve">                   </w:t>
      </w:r>
      <w:r w:rsidR="00481CAA" w:rsidRPr="006E18B5">
        <w:rPr>
          <w:color w:val="000000"/>
          <w:sz w:val="24"/>
          <w:szCs w:val="24"/>
        </w:rPr>
        <w:t xml:space="preserve">                                   </w:t>
      </w:r>
      <w:r w:rsidRPr="006E18B5">
        <w:rPr>
          <w:color w:val="000000"/>
          <w:sz w:val="24"/>
          <w:szCs w:val="24"/>
        </w:rPr>
        <w:t xml:space="preserve">                                       №  </w:t>
      </w:r>
      <w:r w:rsidR="00EE011D" w:rsidRPr="006E18B5">
        <w:rPr>
          <w:color w:val="000000"/>
          <w:sz w:val="24"/>
          <w:szCs w:val="24"/>
        </w:rPr>
        <w:t>____</w:t>
      </w:r>
      <w:r w:rsidRPr="006E18B5">
        <w:rPr>
          <w:color w:val="000000"/>
          <w:sz w:val="24"/>
          <w:szCs w:val="24"/>
        </w:rPr>
        <w:t xml:space="preserve">     </w:t>
      </w:r>
    </w:p>
    <w:p w:rsidR="00B65AD2" w:rsidRDefault="00332494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О </w:t>
      </w:r>
      <w:r w:rsidR="00407667">
        <w:rPr>
          <w:rFonts w:ascii="Times New Roman" w:hAnsi="Times New Roman"/>
          <w:sz w:val="24"/>
          <w:szCs w:val="24"/>
        </w:rPr>
        <w:t>разработки</w:t>
      </w:r>
      <w:r w:rsidRPr="006E18B5">
        <w:rPr>
          <w:rFonts w:ascii="Times New Roman" w:hAnsi="Times New Roman"/>
          <w:sz w:val="24"/>
          <w:szCs w:val="24"/>
        </w:rPr>
        <w:t xml:space="preserve"> </w:t>
      </w:r>
      <w:r w:rsidR="00662B1E" w:rsidRPr="006E18B5">
        <w:rPr>
          <w:rFonts w:ascii="Times New Roman" w:hAnsi="Times New Roman"/>
          <w:sz w:val="24"/>
          <w:szCs w:val="24"/>
        </w:rPr>
        <w:t>проекта муниципальной</w:t>
      </w:r>
    </w:p>
    <w:p w:rsidR="00B65AD2" w:rsidRDefault="00662B1E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программы</w:t>
      </w:r>
      <w:r w:rsidR="0069453D" w:rsidRPr="006E18B5">
        <w:rPr>
          <w:rFonts w:ascii="Times New Roman" w:hAnsi="Times New Roman"/>
          <w:sz w:val="24"/>
          <w:szCs w:val="24"/>
        </w:rPr>
        <w:t xml:space="preserve"> </w:t>
      </w:r>
      <w:bookmarkStart w:id="0" w:name="_Hlk491684071"/>
      <w:r w:rsidR="00B65AD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65AD2" w:rsidRDefault="00B65AD2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Петергоф </w:t>
      </w:r>
      <w:r w:rsidR="00576C34" w:rsidRPr="006E18B5">
        <w:rPr>
          <w:rFonts w:ascii="Times New Roman" w:hAnsi="Times New Roman"/>
          <w:sz w:val="24"/>
          <w:szCs w:val="24"/>
        </w:rPr>
        <w:t>«</w:t>
      </w:r>
      <w:r w:rsidR="00662B1E" w:rsidRPr="006E18B5">
        <w:rPr>
          <w:rFonts w:ascii="Times New Roman" w:hAnsi="Times New Roman"/>
          <w:sz w:val="24"/>
          <w:szCs w:val="24"/>
        </w:rPr>
        <w:t>Формирование</w:t>
      </w:r>
    </w:p>
    <w:p w:rsidR="000045A5" w:rsidRPr="006E18B5" w:rsidRDefault="00662B1E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Pr="006E18B5">
        <w:rPr>
          <w:rFonts w:ascii="Times New Roman" w:hAnsi="Times New Roman"/>
          <w:sz w:val="24"/>
          <w:szCs w:val="24"/>
        </w:rPr>
        <w:t>.</w:t>
      </w: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B005D"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</w:t>
      </w:r>
      <w:proofErr w:type="spellStart"/>
      <w:r w:rsidR="00FB005D">
        <w:rPr>
          <w:rFonts w:ascii="Times New Roman" w:eastAsia="Calibri" w:hAnsi="Times New Roman" w:cs="Times New Roman"/>
          <w:sz w:val="24"/>
          <w:szCs w:val="24"/>
        </w:rPr>
        <w:t>г.Петергоф</w:t>
      </w:r>
      <w:proofErr w:type="spellEnd"/>
      <w:r w:rsidR="00FB005D">
        <w:rPr>
          <w:rFonts w:ascii="Times New Roman" w:eastAsia="Calibri" w:hAnsi="Times New Roman" w:cs="Times New Roman"/>
          <w:sz w:val="24"/>
          <w:szCs w:val="24"/>
        </w:rPr>
        <w:t>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32494" w:rsidRPr="006E18B5" w:rsidRDefault="00332494" w:rsidP="00407667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6E18B5" w:rsidRDefault="00332494" w:rsidP="00B65AD2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Утвердить </w:t>
      </w:r>
      <w:r w:rsidR="00662B1E" w:rsidRPr="006E18B5">
        <w:rPr>
          <w:rFonts w:ascii="Times New Roman" w:hAnsi="Times New Roman"/>
          <w:sz w:val="24"/>
          <w:szCs w:val="24"/>
        </w:rPr>
        <w:t xml:space="preserve">проект муниципальной программы </w:t>
      </w:r>
      <w:r w:rsidR="00B65AD2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</w:t>
      </w:r>
      <w:r w:rsidR="00662B1E" w:rsidRPr="006E18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</w:t>
      </w:r>
      <w:r w:rsidRPr="006E18B5">
        <w:rPr>
          <w:rFonts w:ascii="Times New Roman" w:hAnsi="Times New Roman"/>
          <w:sz w:val="24"/>
          <w:szCs w:val="24"/>
        </w:rPr>
        <w:t>на 201</w:t>
      </w:r>
      <w:r w:rsidR="00662B1E" w:rsidRPr="006E18B5">
        <w:rPr>
          <w:rFonts w:ascii="Times New Roman" w:hAnsi="Times New Roman"/>
          <w:sz w:val="24"/>
          <w:szCs w:val="24"/>
        </w:rPr>
        <w:t>8</w:t>
      </w:r>
      <w:r w:rsidR="00B65AD2">
        <w:rPr>
          <w:rFonts w:ascii="Times New Roman" w:hAnsi="Times New Roman"/>
          <w:sz w:val="24"/>
          <w:szCs w:val="24"/>
        </w:rPr>
        <w:t xml:space="preserve"> год </w:t>
      </w:r>
      <w:r w:rsidRPr="006E18B5">
        <w:rPr>
          <w:rFonts w:ascii="Times New Roman" w:hAnsi="Times New Roman"/>
          <w:sz w:val="24"/>
          <w:szCs w:val="24"/>
        </w:rPr>
        <w:t>согласно приложени</w:t>
      </w:r>
      <w:r w:rsidR="00D527C1" w:rsidRPr="006E18B5">
        <w:rPr>
          <w:rFonts w:ascii="Times New Roman" w:hAnsi="Times New Roman"/>
          <w:sz w:val="24"/>
          <w:szCs w:val="24"/>
        </w:rPr>
        <w:t>я</w:t>
      </w:r>
      <w:r w:rsidR="00B65AD2">
        <w:rPr>
          <w:rFonts w:ascii="Times New Roman" w:hAnsi="Times New Roman"/>
          <w:sz w:val="24"/>
          <w:szCs w:val="24"/>
        </w:rPr>
        <w:t>м</w:t>
      </w:r>
      <w:r w:rsidRPr="006E18B5">
        <w:rPr>
          <w:rFonts w:ascii="Times New Roman" w:hAnsi="Times New Roman"/>
          <w:sz w:val="24"/>
          <w:szCs w:val="24"/>
        </w:rPr>
        <w:t xml:space="preserve"> №1</w:t>
      </w:r>
      <w:r w:rsidR="00B65AD2">
        <w:rPr>
          <w:rFonts w:ascii="Times New Roman" w:hAnsi="Times New Roman"/>
          <w:sz w:val="24"/>
          <w:szCs w:val="24"/>
        </w:rPr>
        <w:t>,2</w:t>
      </w:r>
      <w:r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6E18B5">
        <w:rPr>
          <w:rFonts w:ascii="Times New Roman" w:hAnsi="Times New Roman"/>
          <w:sz w:val="24"/>
          <w:szCs w:val="24"/>
        </w:rPr>
        <w:t xml:space="preserve">официального </w:t>
      </w:r>
      <w:r w:rsidRPr="006E18B5">
        <w:rPr>
          <w:rFonts w:ascii="Times New Roman" w:hAnsi="Times New Roman"/>
          <w:sz w:val="24"/>
          <w:szCs w:val="24"/>
        </w:rPr>
        <w:t>о</w:t>
      </w:r>
      <w:r w:rsidR="00D527C1" w:rsidRPr="006E18B5">
        <w:rPr>
          <w:rFonts w:ascii="Times New Roman" w:hAnsi="Times New Roman"/>
          <w:sz w:val="24"/>
          <w:szCs w:val="24"/>
        </w:rPr>
        <w:t>публикования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81CAA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>Г</w:t>
      </w:r>
      <w:r w:rsidR="000045A5" w:rsidRPr="006E18B5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6E18B5" w:rsidRDefault="000045A5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 w:rsidR="00FA3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6E18B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proofErr w:type="gramStart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________2017 г. № ___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345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FA3697" w:rsidRPr="00040C81" w:rsidRDefault="00040C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 благоустройства территории муниципального образования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CA7E80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благоустроенных территорий,</w:t>
            </w:r>
            <w:r>
              <w:rPr>
                <w:sz w:val="24"/>
                <w:szCs w:val="24"/>
              </w:rPr>
              <w:t xml:space="preserve"> 1 ед.;</w:t>
            </w:r>
            <w:r w:rsidRPr="00CA7E80">
              <w:rPr>
                <w:sz w:val="24"/>
                <w:szCs w:val="24"/>
              </w:rPr>
              <w:tab/>
            </w:r>
          </w:p>
          <w:p w:rsid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Площадь благоустроенных территорий</w:t>
            </w:r>
            <w:r w:rsidR="000362D1">
              <w:rPr>
                <w:sz w:val="24"/>
                <w:szCs w:val="24"/>
              </w:rPr>
              <w:t xml:space="preserve">, 10290 </w:t>
            </w:r>
            <w:proofErr w:type="spellStart"/>
            <w:r w:rsidR="000362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A3697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разработанных проектов благоустройства</w:t>
            </w:r>
            <w:r>
              <w:rPr>
                <w:sz w:val="24"/>
                <w:szCs w:val="24"/>
              </w:rPr>
              <w:t>, 1</w:t>
            </w:r>
            <w:r w:rsidR="000362D1">
              <w:rPr>
                <w:sz w:val="24"/>
                <w:szCs w:val="24"/>
              </w:rPr>
              <w:t xml:space="preserve"> е</w:t>
            </w:r>
            <w:r w:rsidRPr="00CA7E80">
              <w:rPr>
                <w:sz w:val="24"/>
                <w:szCs w:val="24"/>
              </w:rPr>
              <w:t>д.</w:t>
            </w:r>
            <w:r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2018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12800,0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FA3697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0362D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ед. детского и спортивного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 xml:space="preserve">сфальтобетонного покрытия площадью </w:t>
            </w:r>
            <w:r w:rsidR="000362D1">
              <w:rPr>
                <w:sz w:val="24"/>
                <w:szCs w:val="24"/>
              </w:rPr>
              <w:t>1900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0362D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0362D1">
              <w:rPr>
                <w:sz w:val="24"/>
                <w:szCs w:val="24"/>
              </w:rPr>
              <w:t xml:space="preserve"> 385</w:t>
            </w:r>
            <w:r>
              <w:rPr>
                <w:sz w:val="24"/>
                <w:szCs w:val="24"/>
              </w:rPr>
              <w:t xml:space="preserve"> ед.  зеленых насаждений;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0362D1">
              <w:rPr>
                <w:sz w:val="24"/>
                <w:szCs w:val="24"/>
              </w:rPr>
              <w:t xml:space="preserve">1350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 w:rsidR="00000969">
              <w:rPr>
                <w:sz w:val="24"/>
                <w:szCs w:val="24"/>
              </w:rPr>
              <w:t>;</w:t>
            </w:r>
          </w:p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6053C" w:rsidRDefault="00D6053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A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548FA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A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4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5DCB">
        <w:rPr>
          <w:rFonts w:ascii="Times New Roman" w:hAnsi="Times New Roman" w:cs="Times New Roman"/>
          <w:b/>
          <w:sz w:val="24"/>
          <w:szCs w:val="24"/>
        </w:rPr>
        <w:t>ПРОЕКТ  МУНИЦИПАЛЬНОЙ</w:t>
      </w:r>
      <w:proofErr w:type="gramEnd"/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Pr="00715DC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3548FA" w:rsidRDefault="00715DCB" w:rsidP="003548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0045A5" w:rsidRDefault="00912F73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15DCB">
        <w:rPr>
          <w:rFonts w:ascii="Times New Roman" w:hAnsi="Times New Roman" w:cs="Times New Roman"/>
          <w:b/>
          <w:bCs/>
          <w:sz w:val="24"/>
          <w:szCs w:val="24"/>
        </w:rPr>
        <w:t>а 2018 год.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405321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3, корп.1, 2, № 5, корп.1,2, № 7 корп.1, 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ул.Суворовская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</w:t>
      </w:r>
      <w:r w:rsidR="006B7830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6B7830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22A46">
        <w:rPr>
          <w:rFonts w:ascii="Times New Roman" w:hAnsi="Times New Roman" w:cs="Times New Roman"/>
          <w:sz w:val="24"/>
          <w:szCs w:val="24"/>
        </w:rPr>
        <w:t xml:space="preserve"> площадью 10 290 </w:t>
      </w:r>
      <w:proofErr w:type="spellStart"/>
      <w:r w:rsidR="00322A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.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По территории сквера проходят натоптанные жителями грунтовые пешеходные дорожки. Газоны частично заезжены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паркующимися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автомобилями. В сквере необходимо выполнить санитарную рубку деревьев. Оборудование детской площадки находится в неудовлетворительном состоянии. Требуется замена детского оборудования. Спортивное оборудование отсутствует. Требуется ремонт асфальтобетонного покрытия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проезда. Территория является территорией объекта культурного наследия регионального значения «Казармы лейб-гвардии Драгунского полка и жилой комплекс». </w:t>
      </w:r>
      <w:r w:rsidR="004F3C05">
        <w:rPr>
          <w:rFonts w:ascii="Times New Roman" w:hAnsi="Times New Roman" w:cs="Times New Roman"/>
          <w:sz w:val="24"/>
          <w:szCs w:val="24"/>
        </w:rPr>
        <w:t xml:space="preserve">На момент разработки </w:t>
      </w:r>
      <w:r w:rsidR="00642D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F3C05">
        <w:rPr>
          <w:rFonts w:ascii="Times New Roman" w:hAnsi="Times New Roman" w:cs="Times New Roman"/>
          <w:sz w:val="24"/>
          <w:szCs w:val="24"/>
        </w:rPr>
        <w:t>программы имеется проектно-сметная документация (шифр</w:t>
      </w:r>
      <w:r w:rsidR="00FF36E0">
        <w:rPr>
          <w:rFonts w:ascii="Times New Roman" w:hAnsi="Times New Roman" w:cs="Times New Roman"/>
          <w:sz w:val="24"/>
          <w:szCs w:val="24"/>
        </w:rPr>
        <w:t xml:space="preserve"> </w:t>
      </w:r>
      <w:r w:rsidR="0054079B">
        <w:rPr>
          <w:rFonts w:ascii="Times New Roman" w:hAnsi="Times New Roman" w:cs="Times New Roman"/>
          <w:sz w:val="24"/>
          <w:szCs w:val="24"/>
        </w:rPr>
        <w:t>41567-02</w:t>
      </w:r>
      <w:r w:rsidR="004F3C05">
        <w:rPr>
          <w:rFonts w:ascii="Times New Roman" w:hAnsi="Times New Roman" w:cs="Times New Roman"/>
          <w:sz w:val="24"/>
          <w:szCs w:val="24"/>
        </w:rPr>
        <w:t>), согласованная с профильны</w:t>
      </w:r>
      <w:r w:rsidR="00D70320">
        <w:rPr>
          <w:rFonts w:ascii="Times New Roman" w:hAnsi="Times New Roman" w:cs="Times New Roman"/>
          <w:sz w:val="24"/>
          <w:szCs w:val="24"/>
        </w:rPr>
        <w:t>ми</w:t>
      </w:r>
      <w:r w:rsidR="004F3C0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Санкт-Петербурга</w:t>
      </w:r>
      <w:r w:rsidR="00642D34">
        <w:rPr>
          <w:rFonts w:ascii="Times New Roman" w:hAnsi="Times New Roman" w:cs="Times New Roman"/>
          <w:sz w:val="24"/>
          <w:szCs w:val="24"/>
        </w:rPr>
        <w:t xml:space="preserve">. Проект выполнен на основании: разрешительного письма КГА </w:t>
      </w:r>
      <w:bookmarkStart w:id="1" w:name="_GoBack"/>
      <w:bookmarkEnd w:id="1"/>
      <w:r w:rsidR="009B5CD0" w:rsidRPr="009B5CD0">
        <w:rPr>
          <w:rFonts w:ascii="Times New Roman" w:hAnsi="Times New Roman" w:cs="Times New Roman"/>
          <w:sz w:val="24"/>
          <w:szCs w:val="24"/>
        </w:rPr>
        <w:t xml:space="preserve"> от 28.01.2015 г.</w:t>
      </w:r>
      <w:r w:rsidR="009B5CD0">
        <w:rPr>
          <w:rFonts w:ascii="Times New Roman" w:hAnsi="Times New Roman" w:cs="Times New Roman"/>
          <w:sz w:val="24"/>
          <w:szCs w:val="24"/>
        </w:rPr>
        <w:t xml:space="preserve">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№ 1-4-2885/5</w:t>
      </w:r>
      <w:r w:rsidR="00642D34">
        <w:rPr>
          <w:rFonts w:ascii="Times New Roman" w:hAnsi="Times New Roman" w:cs="Times New Roman"/>
          <w:sz w:val="24"/>
          <w:szCs w:val="24"/>
        </w:rPr>
        <w:t xml:space="preserve">, технического задания на проектирование </w:t>
      </w:r>
      <w:proofErr w:type="gramStart"/>
      <w:r w:rsidR="00642D34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642D34">
        <w:rPr>
          <w:rFonts w:ascii="Times New Roman" w:hAnsi="Times New Roman" w:cs="Times New Roman"/>
          <w:sz w:val="24"/>
          <w:szCs w:val="24"/>
        </w:rPr>
        <w:t xml:space="preserve"> к муниципальному контракту № </w:t>
      </w:r>
      <w:r w:rsidR="00A64F2F">
        <w:rPr>
          <w:rFonts w:ascii="Times New Roman" w:hAnsi="Times New Roman" w:cs="Times New Roman"/>
          <w:sz w:val="24"/>
          <w:szCs w:val="24"/>
        </w:rPr>
        <w:t>01723</w:t>
      </w:r>
      <w:r w:rsidR="00405321">
        <w:rPr>
          <w:rFonts w:ascii="Times New Roman" w:hAnsi="Times New Roman" w:cs="Times New Roman"/>
          <w:sz w:val="24"/>
          <w:szCs w:val="24"/>
        </w:rPr>
        <w:t>00000315000027-0041567-02 от 30.04.2015 г.</w:t>
      </w:r>
      <w:r w:rsidR="00642D34">
        <w:rPr>
          <w:rFonts w:ascii="Times New Roman" w:hAnsi="Times New Roman" w:cs="Times New Roman"/>
          <w:sz w:val="24"/>
          <w:szCs w:val="24"/>
        </w:rPr>
        <w:t xml:space="preserve">), </w:t>
      </w:r>
      <w:r w:rsidR="00405321" w:rsidRPr="00405321">
        <w:rPr>
          <w:rFonts w:ascii="Times New Roman" w:hAnsi="Times New Roman" w:cs="Times New Roman"/>
          <w:sz w:val="24"/>
          <w:szCs w:val="24"/>
        </w:rPr>
        <w:t xml:space="preserve">предложений жителей, озвученных на встрече жителей со специалистами местной администрации, состоявшейся 25.05.2015 г. </w:t>
      </w:r>
    </w:p>
    <w:p w:rsidR="00E07AE9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7, корп.1, № 7, корп.2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ул.Ботаническая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№ 7, корп.1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ул.Чичеринская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внутриквартального озеленения местного значения</w:t>
      </w:r>
      <w:r w:rsidR="005C5DCC">
        <w:rPr>
          <w:rFonts w:ascii="Times New Roman" w:hAnsi="Times New Roman" w:cs="Times New Roman"/>
          <w:sz w:val="24"/>
          <w:szCs w:val="24"/>
        </w:rPr>
        <w:t xml:space="preserve"> площ</w:t>
      </w:r>
      <w:r w:rsidR="001400F1">
        <w:rPr>
          <w:rFonts w:ascii="Times New Roman" w:hAnsi="Times New Roman" w:cs="Times New Roman"/>
          <w:sz w:val="24"/>
          <w:szCs w:val="24"/>
        </w:rPr>
        <w:t xml:space="preserve">адью около 3300 </w:t>
      </w:r>
      <w:proofErr w:type="spellStart"/>
      <w:r w:rsidR="001400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00F1">
        <w:rPr>
          <w:rFonts w:ascii="Times New Roman" w:hAnsi="Times New Roman" w:cs="Times New Roman"/>
          <w:sz w:val="24"/>
          <w:szCs w:val="24"/>
        </w:rPr>
        <w:t>.</w:t>
      </w:r>
      <w:r w:rsidRPr="006B7830">
        <w:rPr>
          <w:rFonts w:ascii="Times New Roman" w:hAnsi="Times New Roman" w:cs="Times New Roman"/>
          <w:sz w:val="24"/>
          <w:szCs w:val="24"/>
        </w:rPr>
        <w:t xml:space="preserve">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 Территория сквера находится в неудовлетворительном состоянии. Требуется ремонт газонов, посадка деревьев и кустарника. Оборудование детской площадки находится в неудовлетворительном состоянии. Требуется замена детского оборудования. По территории сквера проходят натоптанные жителями грунтовые пешеходные дорожки</w:t>
      </w:r>
      <w:r w:rsidR="006B7830">
        <w:rPr>
          <w:rFonts w:ascii="Times New Roman" w:hAnsi="Times New Roman" w:cs="Times New Roman"/>
          <w:sz w:val="24"/>
          <w:szCs w:val="24"/>
        </w:rPr>
        <w:t>.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B210C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269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B210CF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C80" w:rsidTr="0065370F">
        <w:trPr>
          <w:trHeight w:val="279"/>
        </w:trPr>
        <w:tc>
          <w:tcPr>
            <w:tcW w:w="496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99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94C80" w:rsidRDefault="00894C80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разработанных проектов благоустройства</w:t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1F1589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2018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A7367E">
        <w:trPr>
          <w:trHeight w:val="517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A7367E" w:rsidRPr="00A7367E" w:rsidTr="00A7367E">
        <w:trPr>
          <w:trHeight w:val="153"/>
        </w:trPr>
        <w:tc>
          <w:tcPr>
            <w:tcW w:w="1806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1.</w:t>
            </w:r>
          </w:p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Создание зоны отдыха на внут</w:t>
            </w:r>
            <w:r w:rsidR="00515DE6">
              <w:rPr>
                <w:sz w:val="24"/>
                <w:szCs w:val="24"/>
              </w:rPr>
              <w:t>ридворовой территории домов №3, корп.1,2, №</w:t>
            </w:r>
            <w:proofErr w:type="gramStart"/>
            <w:r w:rsidR="00515DE6">
              <w:rPr>
                <w:sz w:val="24"/>
                <w:szCs w:val="24"/>
              </w:rPr>
              <w:t>5,корп.</w:t>
            </w:r>
            <w:proofErr w:type="gramEnd"/>
            <w:r w:rsidR="00515DE6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1985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  <w:lang w:val="en-US"/>
              </w:rPr>
              <w:t>II</w:t>
            </w:r>
            <w:r w:rsidRPr="00515DE6">
              <w:rPr>
                <w:sz w:val="24"/>
                <w:szCs w:val="24"/>
              </w:rPr>
              <w:t>-</w:t>
            </w:r>
            <w:r w:rsidRPr="00A7367E">
              <w:rPr>
                <w:sz w:val="24"/>
                <w:szCs w:val="24"/>
                <w:lang w:val="en-US"/>
              </w:rPr>
              <w:t>IV</w:t>
            </w:r>
            <w:r w:rsidRPr="00515DE6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40532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       ед. детского и спортивного оборудования 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>сфальтобетонного покрытия площадью</w:t>
            </w:r>
            <w:r w:rsidR="00405321">
              <w:rPr>
                <w:sz w:val="24"/>
                <w:szCs w:val="24"/>
              </w:rPr>
              <w:t xml:space="preserve"> 1900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515DE6" w:rsidRPr="00A7367E" w:rsidTr="00A7367E">
        <w:trPr>
          <w:trHeight w:val="150"/>
        </w:trPr>
        <w:tc>
          <w:tcPr>
            <w:tcW w:w="1806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40532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405321">
              <w:rPr>
                <w:sz w:val="24"/>
                <w:szCs w:val="24"/>
              </w:rPr>
              <w:t xml:space="preserve"> 385</w:t>
            </w:r>
            <w:r w:rsidRPr="00A7367E">
              <w:rPr>
                <w:sz w:val="24"/>
                <w:szCs w:val="24"/>
              </w:rPr>
              <w:t xml:space="preserve"> ед.  зеленых насаждений  </w:t>
            </w:r>
          </w:p>
        </w:tc>
      </w:tr>
      <w:tr w:rsidR="00A7367E" w:rsidRPr="00A7367E" w:rsidTr="00A7367E">
        <w:trPr>
          <w:trHeight w:val="968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8010C3">
              <w:rPr>
                <w:sz w:val="24"/>
                <w:szCs w:val="24"/>
              </w:rPr>
              <w:t xml:space="preserve">1350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D6053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702" w:rsidRPr="00A7367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C0702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1985" w:type="dxa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  <w:r w:rsidRPr="00027E2F"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Создание зоны отдыха на внутридворовой территории домов </w:t>
            </w:r>
            <w:r w:rsidRPr="00027E2F">
              <w:rPr>
                <w:sz w:val="24"/>
                <w:szCs w:val="24"/>
              </w:rPr>
              <w:lastRenderedPageBreak/>
              <w:t>№3, корп.1,2, №</w:t>
            </w:r>
            <w:proofErr w:type="gramStart"/>
            <w:r w:rsidRPr="00027E2F">
              <w:rPr>
                <w:sz w:val="24"/>
                <w:szCs w:val="24"/>
              </w:rPr>
              <w:t>5,корп.</w:t>
            </w:r>
            <w:proofErr w:type="gramEnd"/>
            <w:r w:rsidRPr="00027E2F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12500,0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552897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12800,0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б) риск недостижения запланированных результатов.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в) недостаточный уровень профессионального менеджмента.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С целью минимизации этого риска предусматривается повышение квалификации управленческих кадров</w:t>
      </w:r>
      <w:r w:rsidR="00CC1749">
        <w:rPr>
          <w:rFonts w:ascii="Times New Roman" w:hAnsi="Times New Roman" w:cs="Times New Roman"/>
          <w:sz w:val="24"/>
          <w:szCs w:val="24"/>
        </w:rPr>
        <w:t>.</w:t>
      </w:r>
    </w:p>
    <w:p w:rsidR="004F3C05" w:rsidRDefault="004F3C0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D37D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sectPr w:rsidR="00022355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81" w:rsidRDefault="00496B81" w:rsidP="000045A5">
      <w:pPr>
        <w:spacing w:after="0" w:line="240" w:lineRule="auto"/>
      </w:pPr>
      <w:r>
        <w:separator/>
      </w:r>
    </w:p>
  </w:endnote>
  <w:endnote w:type="continuationSeparator" w:id="0">
    <w:p w:rsidR="00496B81" w:rsidRDefault="00496B81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81" w:rsidRDefault="00496B81" w:rsidP="000045A5">
      <w:pPr>
        <w:spacing w:after="0" w:line="240" w:lineRule="auto"/>
      </w:pPr>
      <w:r>
        <w:separator/>
      </w:r>
    </w:p>
  </w:footnote>
  <w:footnote w:type="continuationSeparator" w:id="0">
    <w:p w:rsidR="00496B81" w:rsidRDefault="00496B81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  <w:footnote w:id="2">
    <w:p w:rsidR="00027E2F" w:rsidRDefault="00027E2F" w:rsidP="00027E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5306B">
        <w:rPr>
          <w:rFonts w:ascii="Times New Roman" w:hAnsi="Times New Roman"/>
          <w:sz w:val="16"/>
          <w:szCs w:val="16"/>
        </w:rPr>
        <w:t>Отдельным приложениями к муниципальной программе утверждаются расчеты и обоснования необходимого объема финансирования каждого мероприятия программы (подпрограммы)</w:t>
      </w:r>
    </w:p>
    <w:p w:rsidR="00027E2F" w:rsidRDefault="00027E2F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224B"/>
    <w:rsid w:val="000362D1"/>
    <w:rsid w:val="00040C81"/>
    <w:rsid w:val="00081D5F"/>
    <w:rsid w:val="00083DCA"/>
    <w:rsid w:val="000A63A1"/>
    <w:rsid w:val="000C0702"/>
    <w:rsid w:val="000C16B2"/>
    <w:rsid w:val="000D126D"/>
    <w:rsid w:val="000F43EB"/>
    <w:rsid w:val="00104EA4"/>
    <w:rsid w:val="00110B01"/>
    <w:rsid w:val="00116938"/>
    <w:rsid w:val="001302E7"/>
    <w:rsid w:val="001400F1"/>
    <w:rsid w:val="00145D28"/>
    <w:rsid w:val="001606C8"/>
    <w:rsid w:val="00175BAE"/>
    <w:rsid w:val="001955DF"/>
    <w:rsid w:val="001A71AA"/>
    <w:rsid w:val="001D4103"/>
    <w:rsid w:val="001E626F"/>
    <w:rsid w:val="001F1589"/>
    <w:rsid w:val="001F2F1A"/>
    <w:rsid w:val="001F7B94"/>
    <w:rsid w:val="00207276"/>
    <w:rsid w:val="002100E0"/>
    <w:rsid w:val="00213C6A"/>
    <w:rsid w:val="002203D7"/>
    <w:rsid w:val="0023332C"/>
    <w:rsid w:val="00234E53"/>
    <w:rsid w:val="00252DAC"/>
    <w:rsid w:val="00262168"/>
    <w:rsid w:val="002626DE"/>
    <w:rsid w:val="00283902"/>
    <w:rsid w:val="00285E8F"/>
    <w:rsid w:val="0028624A"/>
    <w:rsid w:val="00295065"/>
    <w:rsid w:val="002A2F02"/>
    <w:rsid w:val="002A7341"/>
    <w:rsid w:val="002B39F6"/>
    <w:rsid w:val="002D2CDC"/>
    <w:rsid w:val="002D4144"/>
    <w:rsid w:val="002D7959"/>
    <w:rsid w:val="002E2A2A"/>
    <w:rsid w:val="002F4A83"/>
    <w:rsid w:val="00307381"/>
    <w:rsid w:val="00307427"/>
    <w:rsid w:val="0031384D"/>
    <w:rsid w:val="00322A46"/>
    <w:rsid w:val="00332494"/>
    <w:rsid w:val="003422A1"/>
    <w:rsid w:val="00345D2A"/>
    <w:rsid w:val="00350EA9"/>
    <w:rsid w:val="003548FA"/>
    <w:rsid w:val="003554CD"/>
    <w:rsid w:val="0036001A"/>
    <w:rsid w:val="00363842"/>
    <w:rsid w:val="003713F7"/>
    <w:rsid w:val="00372AF3"/>
    <w:rsid w:val="003804D0"/>
    <w:rsid w:val="0038135F"/>
    <w:rsid w:val="00381B65"/>
    <w:rsid w:val="003905DB"/>
    <w:rsid w:val="00392F83"/>
    <w:rsid w:val="003A6EC7"/>
    <w:rsid w:val="003B1DDC"/>
    <w:rsid w:val="003C3905"/>
    <w:rsid w:val="003F6678"/>
    <w:rsid w:val="004015B6"/>
    <w:rsid w:val="00405321"/>
    <w:rsid w:val="00407667"/>
    <w:rsid w:val="00412151"/>
    <w:rsid w:val="00427012"/>
    <w:rsid w:val="00432AA1"/>
    <w:rsid w:val="004366B1"/>
    <w:rsid w:val="004471A1"/>
    <w:rsid w:val="00452A88"/>
    <w:rsid w:val="00467793"/>
    <w:rsid w:val="00481CAA"/>
    <w:rsid w:val="00496B81"/>
    <w:rsid w:val="004B1C9E"/>
    <w:rsid w:val="004C3A31"/>
    <w:rsid w:val="004C7683"/>
    <w:rsid w:val="004D7DFA"/>
    <w:rsid w:val="004F3C05"/>
    <w:rsid w:val="004F5E0F"/>
    <w:rsid w:val="00515DE6"/>
    <w:rsid w:val="005359EB"/>
    <w:rsid w:val="0053744B"/>
    <w:rsid w:val="0054079B"/>
    <w:rsid w:val="00552897"/>
    <w:rsid w:val="005758EA"/>
    <w:rsid w:val="00576C34"/>
    <w:rsid w:val="00580807"/>
    <w:rsid w:val="0058686D"/>
    <w:rsid w:val="00591452"/>
    <w:rsid w:val="00596635"/>
    <w:rsid w:val="005B7194"/>
    <w:rsid w:val="005C5DCC"/>
    <w:rsid w:val="005E4080"/>
    <w:rsid w:val="005F1C6A"/>
    <w:rsid w:val="00611423"/>
    <w:rsid w:val="006232C6"/>
    <w:rsid w:val="00633AD5"/>
    <w:rsid w:val="00642D34"/>
    <w:rsid w:val="0065370F"/>
    <w:rsid w:val="00655309"/>
    <w:rsid w:val="00662B1E"/>
    <w:rsid w:val="006940D2"/>
    <w:rsid w:val="0069453D"/>
    <w:rsid w:val="006974EB"/>
    <w:rsid w:val="006A5E89"/>
    <w:rsid w:val="006B0C53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702EA7"/>
    <w:rsid w:val="0071446D"/>
    <w:rsid w:val="00715DCB"/>
    <w:rsid w:val="00716650"/>
    <w:rsid w:val="00737A75"/>
    <w:rsid w:val="00760EF5"/>
    <w:rsid w:val="00762678"/>
    <w:rsid w:val="007726FB"/>
    <w:rsid w:val="007A34FA"/>
    <w:rsid w:val="007B0F9A"/>
    <w:rsid w:val="007E672D"/>
    <w:rsid w:val="008010C3"/>
    <w:rsid w:val="0081262C"/>
    <w:rsid w:val="008224F3"/>
    <w:rsid w:val="00822C3B"/>
    <w:rsid w:val="00877F5A"/>
    <w:rsid w:val="008937AE"/>
    <w:rsid w:val="00894C80"/>
    <w:rsid w:val="008B5DAD"/>
    <w:rsid w:val="008C6F1D"/>
    <w:rsid w:val="008C72C4"/>
    <w:rsid w:val="008E0B33"/>
    <w:rsid w:val="008F01F8"/>
    <w:rsid w:val="008F1EC9"/>
    <w:rsid w:val="0090141C"/>
    <w:rsid w:val="00912F73"/>
    <w:rsid w:val="00916E02"/>
    <w:rsid w:val="0095522F"/>
    <w:rsid w:val="009554A4"/>
    <w:rsid w:val="0095681F"/>
    <w:rsid w:val="00991C98"/>
    <w:rsid w:val="009B5CD0"/>
    <w:rsid w:val="009B7871"/>
    <w:rsid w:val="009C688F"/>
    <w:rsid w:val="009D0C5F"/>
    <w:rsid w:val="009D4FAF"/>
    <w:rsid w:val="009D6CD4"/>
    <w:rsid w:val="009E680F"/>
    <w:rsid w:val="009F2148"/>
    <w:rsid w:val="00A003C8"/>
    <w:rsid w:val="00A03E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57F0"/>
    <w:rsid w:val="00AB2594"/>
    <w:rsid w:val="00B067E1"/>
    <w:rsid w:val="00B0761B"/>
    <w:rsid w:val="00B210CF"/>
    <w:rsid w:val="00B23940"/>
    <w:rsid w:val="00B264FF"/>
    <w:rsid w:val="00B460F1"/>
    <w:rsid w:val="00B5668B"/>
    <w:rsid w:val="00B61033"/>
    <w:rsid w:val="00B65AD2"/>
    <w:rsid w:val="00B927A1"/>
    <w:rsid w:val="00B9305B"/>
    <w:rsid w:val="00BA1D53"/>
    <w:rsid w:val="00BC2418"/>
    <w:rsid w:val="00BD18C9"/>
    <w:rsid w:val="00BE05A9"/>
    <w:rsid w:val="00BF6441"/>
    <w:rsid w:val="00C162C4"/>
    <w:rsid w:val="00C7200B"/>
    <w:rsid w:val="00C77CF5"/>
    <w:rsid w:val="00CA7E80"/>
    <w:rsid w:val="00CB15A8"/>
    <w:rsid w:val="00CC1749"/>
    <w:rsid w:val="00CC1BF1"/>
    <w:rsid w:val="00CD005E"/>
    <w:rsid w:val="00CD0440"/>
    <w:rsid w:val="00CD0C26"/>
    <w:rsid w:val="00CD3EAF"/>
    <w:rsid w:val="00CE386A"/>
    <w:rsid w:val="00CF3F7C"/>
    <w:rsid w:val="00D015AC"/>
    <w:rsid w:val="00D04656"/>
    <w:rsid w:val="00D05059"/>
    <w:rsid w:val="00D37DCE"/>
    <w:rsid w:val="00D527C1"/>
    <w:rsid w:val="00D6053C"/>
    <w:rsid w:val="00D70320"/>
    <w:rsid w:val="00D71127"/>
    <w:rsid w:val="00D76CAE"/>
    <w:rsid w:val="00D84EEC"/>
    <w:rsid w:val="00D96F1E"/>
    <w:rsid w:val="00DC37D5"/>
    <w:rsid w:val="00DC4AE0"/>
    <w:rsid w:val="00DC6C24"/>
    <w:rsid w:val="00DE2C30"/>
    <w:rsid w:val="00DE4FAE"/>
    <w:rsid w:val="00E00D30"/>
    <w:rsid w:val="00E07AE9"/>
    <w:rsid w:val="00E33DC6"/>
    <w:rsid w:val="00E41EFA"/>
    <w:rsid w:val="00E52743"/>
    <w:rsid w:val="00E8062B"/>
    <w:rsid w:val="00E9381C"/>
    <w:rsid w:val="00E975D5"/>
    <w:rsid w:val="00E97E89"/>
    <w:rsid w:val="00EB6D25"/>
    <w:rsid w:val="00EC743B"/>
    <w:rsid w:val="00EE011D"/>
    <w:rsid w:val="00EE1158"/>
    <w:rsid w:val="00EF4BE2"/>
    <w:rsid w:val="00F2125D"/>
    <w:rsid w:val="00F35CB5"/>
    <w:rsid w:val="00F72239"/>
    <w:rsid w:val="00F7328C"/>
    <w:rsid w:val="00FA3697"/>
    <w:rsid w:val="00FA6E68"/>
    <w:rsid w:val="00FB005D"/>
    <w:rsid w:val="00FB0EAE"/>
    <w:rsid w:val="00FC00F6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548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0BF2-1C4C-4DD7-B76C-049140A3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2017-08-30T06:40:00Z</cp:lastPrinted>
  <dcterms:created xsi:type="dcterms:W3CDTF">2017-08-29T12:40:00Z</dcterms:created>
  <dcterms:modified xsi:type="dcterms:W3CDTF">2017-08-30T13:54:00Z</dcterms:modified>
</cp:coreProperties>
</file>